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EF86" w14:textId="14652CB3" w:rsidR="008C7E3E" w:rsidRPr="009D3844" w:rsidRDefault="008C7E3E" w:rsidP="00160194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38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External Credit </w:t>
      </w:r>
      <w:r w:rsidR="00DD32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Approval Process</w:t>
      </w:r>
    </w:p>
    <w:p w14:paraId="7D1BBE85" w14:textId="757AC3DB" w:rsidR="008C7E3E" w:rsidRPr="009D3844" w:rsidRDefault="008C7E3E" w:rsidP="008C7E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</w:rPr>
      </w:pPr>
      <w:r w:rsidRPr="009D38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The External Credit Request form is </w:t>
      </w:r>
      <w:r w:rsidR="00E029E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active! </w:t>
      </w:r>
      <w:r w:rsidRPr="009D3844">
        <w:rPr>
          <w:rFonts w:ascii="Times New Roman" w:hAnsi="Times New Roman" w:cs="Times New Roman"/>
          <w:bCs/>
        </w:rPr>
        <w:t xml:space="preserve">PWCS staff are now able to submit and track external credit requests in the professional learning catalog. </w:t>
      </w:r>
      <w:r w:rsidRPr="009D3844">
        <w:rPr>
          <w:rFonts w:ascii="Times New Roman" w:hAnsi="Times New Roman" w:cs="Times New Roman"/>
        </w:rPr>
        <w:t xml:space="preserve">License holders </w:t>
      </w:r>
      <w:r w:rsidR="00E04B0F">
        <w:rPr>
          <w:rFonts w:ascii="Times New Roman" w:hAnsi="Times New Roman" w:cs="Times New Roman"/>
        </w:rPr>
        <w:t>may</w:t>
      </w:r>
      <w:r w:rsidRPr="009D3844">
        <w:rPr>
          <w:rFonts w:ascii="Times New Roman" w:hAnsi="Times New Roman" w:cs="Times New Roman"/>
        </w:rPr>
        <w:t xml:space="preserve"> use this method to obtain approval from </w:t>
      </w:r>
      <w:r w:rsidR="00E04B0F">
        <w:rPr>
          <w:rFonts w:ascii="Times New Roman" w:hAnsi="Times New Roman" w:cs="Times New Roman"/>
        </w:rPr>
        <w:t xml:space="preserve">their </w:t>
      </w:r>
      <w:r w:rsidRPr="009D3844">
        <w:rPr>
          <w:rFonts w:ascii="Times New Roman" w:hAnsi="Times New Roman" w:cs="Times New Roman"/>
        </w:rPr>
        <w:t xml:space="preserve">principal/advisor when </w:t>
      </w:r>
      <w:r w:rsidR="00E04B0F">
        <w:rPr>
          <w:rFonts w:ascii="Times New Roman" w:hAnsi="Times New Roman" w:cs="Times New Roman"/>
        </w:rPr>
        <w:t>they</w:t>
      </w:r>
      <w:r w:rsidRPr="009D3844">
        <w:rPr>
          <w:rFonts w:ascii="Times New Roman" w:hAnsi="Times New Roman" w:cs="Times New Roman"/>
        </w:rPr>
        <w:t xml:space="preserve"> have completed activities outside of the professional learning catalog and want to use them for license renewal. The External Credit Request replaces </w:t>
      </w:r>
      <w:r w:rsidRPr="009D3844">
        <w:rPr>
          <w:rFonts w:ascii="Times New Roman" w:hAnsi="Times New Roman" w:cs="Times New Roman"/>
          <w:bCs/>
        </w:rPr>
        <w:t xml:space="preserve">the manual process of submitting the paper renewal packet to </w:t>
      </w:r>
      <w:r w:rsidR="00E04B0F">
        <w:rPr>
          <w:rFonts w:ascii="Times New Roman" w:hAnsi="Times New Roman" w:cs="Times New Roman"/>
          <w:bCs/>
        </w:rPr>
        <w:t xml:space="preserve">a </w:t>
      </w:r>
      <w:r w:rsidRPr="009D3844">
        <w:rPr>
          <w:rFonts w:ascii="Times New Roman" w:hAnsi="Times New Roman" w:cs="Times New Roman"/>
          <w:bCs/>
        </w:rPr>
        <w:t xml:space="preserve">principal/advisor for approval. </w:t>
      </w:r>
      <w:r w:rsidRPr="009D3844">
        <w:rPr>
          <w:rFonts w:ascii="Times New Roman" w:hAnsi="Times New Roman" w:cs="Times New Roman"/>
        </w:rPr>
        <w:t xml:space="preserve">Once approved by </w:t>
      </w:r>
      <w:r w:rsidR="00E04B0F">
        <w:rPr>
          <w:rFonts w:ascii="Times New Roman" w:hAnsi="Times New Roman" w:cs="Times New Roman"/>
        </w:rPr>
        <w:t>the</w:t>
      </w:r>
      <w:r w:rsidRPr="009D3844">
        <w:rPr>
          <w:rFonts w:ascii="Times New Roman" w:hAnsi="Times New Roman" w:cs="Times New Roman"/>
        </w:rPr>
        <w:t xml:space="preserve"> principal/advisor the external credit hours will appear on </w:t>
      </w:r>
      <w:r w:rsidR="00E04B0F">
        <w:rPr>
          <w:rFonts w:ascii="Times New Roman" w:hAnsi="Times New Roman" w:cs="Times New Roman"/>
        </w:rPr>
        <w:t>the</w:t>
      </w:r>
      <w:r w:rsidRPr="009D3844">
        <w:rPr>
          <w:rFonts w:ascii="Times New Roman" w:hAnsi="Times New Roman" w:cs="Times New Roman"/>
        </w:rPr>
        <w:t xml:space="preserve"> professional learning transcript and may be used for </w:t>
      </w:r>
      <w:r w:rsidR="00E04B0F">
        <w:rPr>
          <w:rFonts w:ascii="Times New Roman" w:hAnsi="Times New Roman" w:cs="Times New Roman"/>
        </w:rPr>
        <w:t>the</w:t>
      </w:r>
      <w:r w:rsidRPr="009D3844">
        <w:rPr>
          <w:rFonts w:ascii="Times New Roman" w:hAnsi="Times New Roman" w:cs="Times New Roman"/>
        </w:rPr>
        <w:t xml:space="preserve"> digital license renewal process</w:t>
      </w:r>
      <w:r w:rsidR="00BD0881">
        <w:rPr>
          <w:rFonts w:ascii="Times New Roman" w:hAnsi="Times New Roman" w:cs="Times New Roman"/>
        </w:rPr>
        <w:t xml:space="preserve"> when</w:t>
      </w:r>
      <w:r w:rsidRPr="009D3844">
        <w:rPr>
          <w:rFonts w:ascii="Times New Roman" w:hAnsi="Times New Roman" w:cs="Times New Roman"/>
        </w:rPr>
        <w:t xml:space="preserve"> completed within </w:t>
      </w:r>
      <w:r w:rsidR="00E04B0F">
        <w:rPr>
          <w:rFonts w:ascii="Times New Roman" w:hAnsi="Times New Roman" w:cs="Times New Roman"/>
        </w:rPr>
        <w:t>the</w:t>
      </w:r>
      <w:r w:rsidRPr="009D3844">
        <w:rPr>
          <w:rFonts w:ascii="Times New Roman" w:hAnsi="Times New Roman" w:cs="Times New Roman"/>
        </w:rPr>
        <w:t xml:space="preserve"> renewal period. This may include points earned through college coursework, conferences, curriculum development, educational projects, publications, mentorship/supervision or any other educational activity not offered through the Professional Learning Catalog. </w:t>
      </w:r>
      <w:r w:rsidRPr="009D3844">
        <w:rPr>
          <w:rFonts w:ascii="Times New Roman" w:hAnsi="Times New Roman" w:cs="Times New Roman"/>
        </w:rPr>
        <w:br/>
      </w:r>
    </w:p>
    <w:p w14:paraId="30567CAB" w14:textId="4B7845E6" w:rsidR="008C7E3E" w:rsidRPr="009D3844" w:rsidRDefault="00993B47" w:rsidP="008C7E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</w:rPr>
      </w:pPr>
      <w:hyperlink r:id="rId6" w:history="1">
        <w:r w:rsidR="008C7E3E" w:rsidRPr="008C7E3E">
          <w:rPr>
            <w:rStyle w:val="Hyperlink"/>
            <w:rFonts w:ascii="Times New Roman" w:hAnsi="Times New Roman" w:cs="Times New Roman"/>
          </w:rPr>
          <w:t>Click here for step-by-step instructions on the External Credit Request Process for license holders.</w:t>
        </w:r>
      </w:hyperlink>
      <w:r w:rsidR="008C7E3E" w:rsidRPr="009D3844">
        <w:rPr>
          <w:rFonts w:ascii="Times New Roman" w:hAnsi="Times New Roman" w:cs="Times New Roman"/>
          <w:color w:val="000000"/>
        </w:rPr>
        <w:br/>
      </w:r>
    </w:p>
    <w:p w14:paraId="179D944A" w14:textId="3D0862D2" w:rsidR="008C7E3E" w:rsidRPr="008C7E3E" w:rsidRDefault="00993B47" w:rsidP="008C7E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</w:rPr>
      </w:pPr>
      <w:hyperlink r:id="rId7" w:history="1">
        <w:r w:rsidR="008C7E3E" w:rsidRPr="008C7E3E">
          <w:rPr>
            <w:rStyle w:val="Hyperlink"/>
            <w:rFonts w:ascii="Times New Roman" w:hAnsi="Times New Roman" w:cs="Times New Roman"/>
          </w:rPr>
          <w:t xml:space="preserve">Click here for step-by-step instructions on the External Credit Request Process for principals/advisors who approve the requests. </w:t>
        </w:r>
      </w:hyperlink>
    </w:p>
    <w:p w14:paraId="19CFC1C8" w14:textId="77777777" w:rsidR="008C7E3E" w:rsidRPr="008C7E3E" w:rsidRDefault="008C7E3E" w:rsidP="008C7E3E">
      <w:pPr>
        <w:shd w:val="clear" w:color="auto" w:fill="FFFFFF"/>
        <w:spacing w:after="0"/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4EB923D3" w14:textId="022380ED" w:rsidR="008C7E3E" w:rsidRPr="009D3844" w:rsidRDefault="00160194" w:rsidP="008C7E3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9D38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</w:t>
      </w:r>
      <w:r w:rsidR="008C7E3E" w:rsidRPr="009D38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Digital License Renewal Application Process is </w:t>
      </w:r>
      <w:r w:rsidR="00993B47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</w:t>
      </w:r>
      <w:r w:rsidR="008C7E3E" w:rsidRPr="009D38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vailable!</w:t>
      </w:r>
      <w:r w:rsidR="008C7E3E"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t>  Current staff holding a renewable license expiring 202</w:t>
      </w:r>
      <w:r w:rsidR="00993B4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2 </w:t>
      </w:r>
      <w:r w:rsidR="008C7E3E" w:rsidRPr="009D38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can use the digital form found in PWCS Records, when the license holder is only renewing a license and paying the license renewal fee electronically.</w:t>
      </w:r>
      <w:r w:rsidR="008C7E3E"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Principals/Advisors will now use the External Credit Request approval process mentioned above in lieu of signing </w:t>
      </w:r>
      <w:r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paper </w:t>
      </w:r>
      <w:r w:rsidR="008C7E3E"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t>license renewal forms. All license holders are encouraged to use the digital license renewal process when possible. </w:t>
      </w:r>
      <w:hyperlink r:id="rId8" w:tgtFrame="_blank" w:tooltip="https://www.pwcs.edu/UserFiles/Servers/Server_340140/File/Human%20Resources/Certification/CertificationLicensure/LicenseRenewal/InstructionsDigitalLicenseRenewalProcess.docx" w:history="1">
        <w:r w:rsidR="008C7E3E" w:rsidRPr="009D3844">
          <w:rPr>
            <w:rStyle w:val="Hyperlink"/>
            <w:rFonts w:ascii="Times New Roman" w:hAnsi="Times New Roman" w:cs="Times New Roman"/>
            <w:bdr w:val="none" w:sz="0" w:space="0" w:color="auto" w:frame="1"/>
          </w:rPr>
          <w:t>Click here for Instructions on the Digital License Renewal Process.</w:t>
        </w:r>
      </w:hyperlink>
    </w:p>
    <w:p w14:paraId="2FA022D4" w14:textId="7CD6018C" w:rsidR="008C7E3E" w:rsidRPr="009D3844" w:rsidRDefault="008C7E3E" w:rsidP="008C7E3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t>License holders who meet any of the following criteria must submit a hard copy license renewal packet to the PWCS, Office of Certification:</w:t>
      </w:r>
    </w:p>
    <w:p w14:paraId="2D64FC4E" w14:textId="77777777" w:rsidR="008C7E3E" w:rsidRPr="009D3844" w:rsidRDefault="008C7E3E" w:rsidP="008C7E3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t>Renewing a license and making other licensure requests such as Adding an Endorsement or Adding a Degree</w:t>
      </w:r>
    </w:p>
    <w:p w14:paraId="162FF549" w14:textId="77777777" w:rsidR="008C7E3E" w:rsidRPr="009D3844" w:rsidRDefault="008C7E3E" w:rsidP="008C7E3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t>Renewing a license and paying the fee with a personal check, cashier’s check, or money order </w:t>
      </w:r>
    </w:p>
    <w:p w14:paraId="48E1A6CB" w14:textId="77777777" w:rsidR="008C7E3E" w:rsidRPr="009D3844" w:rsidRDefault="008C7E3E" w:rsidP="008C7E3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9D3844">
        <w:rPr>
          <w:rStyle w:val="xxmsohyperlink"/>
          <w:rFonts w:ascii="Times New Roman" w:hAnsi="Times New Roman" w:cs="Times New Roman"/>
          <w:color w:val="000000"/>
          <w:bdr w:val="none" w:sz="0" w:space="0" w:color="auto" w:frame="1"/>
        </w:rPr>
        <w:t>R</w:t>
      </w:r>
      <w:r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t>etired from PWCS and submitting a license renewal packet with supporting documentation for all points earned to the PWCS, Office of Certification </w:t>
      </w:r>
    </w:p>
    <w:p w14:paraId="13C89935" w14:textId="363A8EDC" w:rsidR="008C7E3E" w:rsidRDefault="008C7E3E" w:rsidP="008C7E3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t>Answered “Yes” to any of the criminal history background questions for license renewal</w:t>
      </w:r>
      <w:r w:rsidRPr="009D3844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hyperlink r:id="rId9" w:tgtFrame="_blank" w:tooltip="https://www.pwcs.edu/UserFiles/Servers/Server_340140/File/Human%20Resources/Certification/CertificationLicensure/LicenseRenewal/InstructionsHardCopyLicenseRenewalPacket.docx" w:history="1">
        <w:r w:rsidRPr="009D3844">
          <w:rPr>
            <w:rStyle w:val="Hyperlink"/>
            <w:rFonts w:ascii="Times New Roman" w:hAnsi="Times New Roman" w:cs="Times New Roman"/>
            <w:bdr w:val="none" w:sz="0" w:space="0" w:color="auto" w:frame="1"/>
          </w:rPr>
          <w:t>Click here for Instructions on Submitting a Hard Copy License Renewal Packet</w:t>
        </w:r>
      </w:hyperlink>
    </w:p>
    <w:p w14:paraId="2BBE9A60" w14:textId="4408D7BE" w:rsidR="00043C94" w:rsidRPr="00B54F43" w:rsidRDefault="00043C94">
      <w:pPr>
        <w:rPr>
          <w:rFonts w:ascii="Times New Roman" w:hAnsi="Times New Roman" w:cs="Times New Roman"/>
        </w:rPr>
      </w:pPr>
    </w:p>
    <w:sectPr w:rsidR="00043C94" w:rsidRPr="00B54F43" w:rsidSect="00B54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47C7"/>
    <w:multiLevelType w:val="hybridMultilevel"/>
    <w:tmpl w:val="B3B6D12A"/>
    <w:lvl w:ilvl="0" w:tplc="C828301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E0664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E465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CCC4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0B19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86725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45B9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3CEEA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FC290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0A788E"/>
    <w:multiLevelType w:val="multilevel"/>
    <w:tmpl w:val="49B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D5D8D"/>
    <w:multiLevelType w:val="hybridMultilevel"/>
    <w:tmpl w:val="A2F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075F0"/>
    <w:multiLevelType w:val="hybridMultilevel"/>
    <w:tmpl w:val="986E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5592C"/>
    <w:multiLevelType w:val="hybridMultilevel"/>
    <w:tmpl w:val="65F6E718"/>
    <w:lvl w:ilvl="0" w:tplc="3F6804E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18920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6C7C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32CB3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46028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4646F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AB0A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EAFB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A172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94"/>
    <w:rsid w:val="00043C94"/>
    <w:rsid w:val="001556D4"/>
    <w:rsid w:val="00160194"/>
    <w:rsid w:val="002B1B80"/>
    <w:rsid w:val="002B3798"/>
    <w:rsid w:val="002B3DFE"/>
    <w:rsid w:val="006418F2"/>
    <w:rsid w:val="008C7E3E"/>
    <w:rsid w:val="00993B47"/>
    <w:rsid w:val="009D3844"/>
    <w:rsid w:val="00AE6882"/>
    <w:rsid w:val="00B54F43"/>
    <w:rsid w:val="00BD0881"/>
    <w:rsid w:val="00DD297D"/>
    <w:rsid w:val="00DD321A"/>
    <w:rsid w:val="00DF6574"/>
    <w:rsid w:val="00E029E0"/>
    <w:rsid w:val="00E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A128"/>
  <w15:chartTrackingRefBased/>
  <w15:docId w15:val="{D636854C-473C-446D-A608-0EAAA76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8F2"/>
    <w:rPr>
      <w:color w:val="605E5C"/>
      <w:shd w:val="clear" w:color="auto" w:fill="E1DFDD"/>
    </w:rPr>
  </w:style>
  <w:style w:type="character" w:customStyle="1" w:styleId="markm6rjb5tsj">
    <w:name w:val="markm6rjb5tsj"/>
    <w:basedOn w:val="DefaultParagraphFont"/>
    <w:rsid w:val="008C7E3E"/>
  </w:style>
  <w:style w:type="character" w:customStyle="1" w:styleId="xxmsohyperlink">
    <w:name w:val="x_x_msohyperlink"/>
    <w:basedOn w:val="DefaultParagraphFont"/>
    <w:rsid w:val="008C7E3E"/>
  </w:style>
  <w:style w:type="character" w:styleId="FollowedHyperlink">
    <w:name w:val="FollowedHyperlink"/>
    <w:basedOn w:val="DefaultParagraphFont"/>
    <w:uiPriority w:val="99"/>
    <w:semiHidden/>
    <w:unhideWhenUsed/>
    <w:rsid w:val="00E04B0F"/>
    <w:rPr>
      <w:color w:val="954F72" w:themeColor="followedHyperlink"/>
      <w:u w:val="single"/>
    </w:rPr>
  </w:style>
  <w:style w:type="paragraph" w:customStyle="1" w:styleId="NormalWeb2">
    <w:name w:val="Normal (Web)2"/>
    <w:basedOn w:val="Normal"/>
    <w:rsid w:val="00B54F4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0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6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s.edu/UserFiles/Servers/Server_340140/File/Human%20Resources/Certification/CertificationLicensure/LicenseRenewal/2022_Digital_Renewal_Instruction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wcs.edu/UserFiles/Servers/Server_340140/File/Human%20Resources/Certification/CertificationLicensure/LicenseRenewal/PrincipalsAdvisorsExternalCreditRequestInstruction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wcs.edu/UserFiles/Servers/Server_340140/File/Human%20Resources/Certification/CertificationLicensure/LicenseRenewal/LicenseHoldersExternalCreditRequestInstruction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wcs.edu/UserFiles/Servers/Server_340140/File/Human%20Resources/Certification/CertificationLicensure/LicenseRenewal/InstructionsHardCopyLicenseRenewalPack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17EB-9FCE-4CF4-8F7E-0CE06BDB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L. Slabaugh</dc:creator>
  <cp:keywords/>
  <dc:description/>
  <cp:lastModifiedBy>Brock Relyea</cp:lastModifiedBy>
  <cp:revision>6</cp:revision>
  <dcterms:created xsi:type="dcterms:W3CDTF">2021-12-14T19:24:00Z</dcterms:created>
  <dcterms:modified xsi:type="dcterms:W3CDTF">2021-12-16T17:50:00Z</dcterms:modified>
</cp:coreProperties>
</file>