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07" w:rsidRDefault="00691A74" w:rsidP="00786AFC">
      <w:pPr>
        <w:pStyle w:val="NormalWeb"/>
        <w:shd w:val="clear" w:color="auto" w:fill="FFFFFF"/>
        <w:jc w:val="center"/>
        <w:rPr>
          <w:rStyle w:val="Strong"/>
          <w:b w:val="0"/>
          <w:bCs w:val="0"/>
        </w:rPr>
      </w:pPr>
      <w:r>
        <w:rPr>
          <w:noProof/>
        </w:rPr>
        <w:drawing>
          <wp:inline distT="0" distB="0" distL="0" distR="0">
            <wp:extent cx="2986405" cy="828675"/>
            <wp:effectExtent l="0" t="0" r="4445" b="9525"/>
            <wp:docPr id="2" name="Picture 2" descr="SeaPerch Logo" title="SeaPe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424" cy="8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07" w:rsidRDefault="00A65807" w:rsidP="00A65807">
      <w:pPr>
        <w:pStyle w:val="t1"/>
        <w:shd w:val="clear" w:color="auto" w:fill="FFFFFF"/>
        <w:jc w:val="center"/>
        <w:rPr>
          <w:rStyle w:val="Strong"/>
          <w:b/>
          <w:bCs/>
        </w:rPr>
      </w:pPr>
      <w:r w:rsidRPr="00D1284E">
        <w:rPr>
          <w:rStyle w:val="Strong"/>
          <w:b/>
          <w:bCs/>
        </w:rPr>
        <w:t xml:space="preserve">Northern Virginia’s Regional SeaPerch Challenge </w:t>
      </w:r>
    </w:p>
    <w:p w:rsidR="00A65807" w:rsidRPr="00D1284E" w:rsidRDefault="00A65807" w:rsidP="00634A8C">
      <w:pPr>
        <w:pStyle w:val="t1"/>
        <w:shd w:val="clear" w:color="auto" w:fill="FFFFFF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  <w:b/>
          <w:bCs/>
        </w:rPr>
        <w:t>Innovative Design</w:t>
      </w:r>
      <w:r w:rsidRPr="00D1284E">
        <w:rPr>
          <w:rStyle w:val="Strong"/>
          <w:b/>
          <w:bCs/>
        </w:rPr>
        <w:t xml:space="preserve"> </w:t>
      </w:r>
      <w:r>
        <w:rPr>
          <w:rStyle w:val="Strong"/>
          <w:b/>
          <w:bCs/>
        </w:rPr>
        <w:t>Challenge</w:t>
      </w:r>
    </w:p>
    <w:p w:rsidR="00BD245D" w:rsidRDefault="00BD245D" w:rsidP="00634A8C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A19E4">
        <w:rPr>
          <w:sz w:val="23"/>
          <w:szCs w:val="23"/>
        </w:rPr>
        <w:t xml:space="preserve">The Innovative Design </w:t>
      </w:r>
      <w:r w:rsidR="00A65807">
        <w:rPr>
          <w:sz w:val="23"/>
          <w:szCs w:val="23"/>
        </w:rPr>
        <w:t>Challenge</w:t>
      </w:r>
      <w:r w:rsidRPr="002A19E4">
        <w:rPr>
          <w:sz w:val="23"/>
          <w:szCs w:val="23"/>
        </w:rPr>
        <w:t xml:space="preserve"> is </w:t>
      </w:r>
      <w:r w:rsidR="00A65807">
        <w:rPr>
          <w:sz w:val="23"/>
          <w:szCs w:val="23"/>
        </w:rPr>
        <w:t xml:space="preserve">awarded </w:t>
      </w:r>
      <w:r w:rsidRPr="002A19E4">
        <w:rPr>
          <w:sz w:val="23"/>
          <w:szCs w:val="23"/>
        </w:rPr>
        <w:t>to teams that demonstrate creativity, imagination, and resourcefulness in their ROV design.</w:t>
      </w:r>
      <w:r w:rsidR="00634A8C">
        <w:rPr>
          <w:sz w:val="23"/>
          <w:szCs w:val="23"/>
        </w:rPr>
        <w:t xml:space="preserve">  </w:t>
      </w:r>
      <w:r w:rsidRPr="002A19E4">
        <w:rPr>
          <w:sz w:val="23"/>
          <w:szCs w:val="23"/>
        </w:rPr>
        <w:t xml:space="preserve">Teams are encouraged to think of creative design concepts that can improve the performance of their ROV (remotely operated vehicle) in a particular game or in all games. There are few restrictions on your thought, so think outside of the box. </w:t>
      </w:r>
    </w:p>
    <w:p w:rsidR="00634A8C" w:rsidRPr="002A19E4" w:rsidRDefault="00634A8C" w:rsidP="00634A8C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BD245D" w:rsidRPr="002A19E4" w:rsidRDefault="00BD245D" w:rsidP="00634A8C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A19E4">
        <w:rPr>
          <w:sz w:val="23"/>
          <w:szCs w:val="23"/>
        </w:rPr>
        <w:t>Each team may spend up to $</w:t>
      </w:r>
      <w:r w:rsidR="00C37062">
        <w:rPr>
          <w:sz w:val="23"/>
          <w:szCs w:val="23"/>
        </w:rPr>
        <w:t>20</w:t>
      </w:r>
      <w:r w:rsidRPr="002A19E4">
        <w:rPr>
          <w:sz w:val="23"/>
          <w:szCs w:val="23"/>
        </w:rPr>
        <w:t xml:space="preserve">.00 to purchase any upgrades that meet their design. All purchases must have a receipt, and the receipt must be in a section of the team’s </w:t>
      </w:r>
      <w:r w:rsidR="00B63D21" w:rsidRPr="002A19E4">
        <w:rPr>
          <w:sz w:val="23"/>
          <w:szCs w:val="23"/>
        </w:rPr>
        <w:t>SeaPerch</w:t>
      </w:r>
      <w:r w:rsidRPr="002A19E4">
        <w:rPr>
          <w:sz w:val="23"/>
          <w:szCs w:val="23"/>
        </w:rPr>
        <w:t xml:space="preserve"> </w:t>
      </w:r>
      <w:r w:rsidR="00A65807">
        <w:rPr>
          <w:sz w:val="23"/>
          <w:szCs w:val="23"/>
        </w:rPr>
        <w:t>Engineering N</w:t>
      </w:r>
      <w:r w:rsidRPr="002A19E4">
        <w:rPr>
          <w:sz w:val="23"/>
          <w:szCs w:val="23"/>
        </w:rPr>
        <w:t>otebook labeled “Upgrades to ROV</w:t>
      </w:r>
      <w:r w:rsidR="00A65807">
        <w:rPr>
          <w:sz w:val="23"/>
          <w:szCs w:val="23"/>
        </w:rPr>
        <w:t>.”</w:t>
      </w:r>
      <w:r w:rsidRPr="002A19E4">
        <w:rPr>
          <w:sz w:val="23"/>
          <w:szCs w:val="23"/>
        </w:rPr>
        <w:t xml:space="preserve"> A teacher can produce a receipt if the part was in the school supply **.</w:t>
      </w:r>
      <w:r w:rsidR="00634A8C">
        <w:rPr>
          <w:sz w:val="23"/>
          <w:szCs w:val="23"/>
        </w:rPr>
        <w:t xml:space="preserve"> 3D printed parts fall under the $20.00</w:t>
      </w:r>
      <w:r w:rsidR="00786AFC">
        <w:rPr>
          <w:sz w:val="23"/>
          <w:szCs w:val="23"/>
        </w:rPr>
        <w:t xml:space="preserve"> umbrella and are to be charged at a cost of $.05.</w:t>
      </w:r>
      <w:r w:rsidRPr="002A19E4">
        <w:rPr>
          <w:sz w:val="23"/>
          <w:szCs w:val="23"/>
        </w:rPr>
        <w:t xml:space="preserve"> </w:t>
      </w:r>
    </w:p>
    <w:p w:rsidR="00634A8C" w:rsidRDefault="00634A8C" w:rsidP="00634A8C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7035B4" w:rsidRPr="002A19E4" w:rsidRDefault="00BD245D" w:rsidP="00634A8C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A19E4">
        <w:rPr>
          <w:sz w:val="23"/>
          <w:szCs w:val="23"/>
        </w:rPr>
        <w:t xml:space="preserve">All teams must follow the rules documented in the </w:t>
      </w:r>
      <w:r w:rsidR="002A19E4" w:rsidRPr="002A19E4">
        <w:rPr>
          <w:sz w:val="23"/>
          <w:szCs w:val="23"/>
        </w:rPr>
        <w:t xml:space="preserve">SeaPerch </w:t>
      </w:r>
      <w:r w:rsidRPr="002A19E4">
        <w:rPr>
          <w:sz w:val="23"/>
          <w:szCs w:val="23"/>
        </w:rPr>
        <w:t xml:space="preserve">ROV Rules </w:t>
      </w:r>
      <w:r w:rsidR="002A19E4" w:rsidRPr="002A19E4">
        <w:rPr>
          <w:sz w:val="23"/>
          <w:szCs w:val="23"/>
        </w:rPr>
        <w:t>d</w:t>
      </w:r>
      <w:r w:rsidRPr="002A19E4">
        <w:rPr>
          <w:sz w:val="23"/>
          <w:szCs w:val="23"/>
        </w:rPr>
        <w:t xml:space="preserve">ocument.  Some of those rules that relate directly to </w:t>
      </w:r>
      <w:r w:rsidRPr="002A19E4">
        <w:rPr>
          <w:rStyle w:val="Emphasis"/>
          <w:sz w:val="23"/>
          <w:szCs w:val="23"/>
        </w:rPr>
        <w:t>Innovative Design</w:t>
      </w:r>
      <w:r w:rsidR="00A65807">
        <w:rPr>
          <w:sz w:val="23"/>
          <w:szCs w:val="23"/>
        </w:rPr>
        <w:t xml:space="preserve"> are repeated below. </w:t>
      </w:r>
      <w:r w:rsidRPr="002A19E4">
        <w:rPr>
          <w:sz w:val="23"/>
          <w:szCs w:val="23"/>
        </w:rPr>
        <w:t>Teams may:</w:t>
      </w:r>
    </w:p>
    <w:p w:rsidR="007035B4" w:rsidRPr="002A19E4" w:rsidRDefault="00BD245D" w:rsidP="00634A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A19E4">
        <w:rPr>
          <w:sz w:val="23"/>
          <w:szCs w:val="23"/>
        </w:rPr>
        <w:t>Change the shape of the ROV</w:t>
      </w:r>
    </w:p>
    <w:p w:rsidR="007035B4" w:rsidRPr="002A19E4" w:rsidRDefault="00BD245D" w:rsidP="00634A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A19E4">
        <w:rPr>
          <w:sz w:val="23"/>
          <w:szCs w:val="23"/>
        </w:rPr>
        <w:t xml:space="preserve">Change the configuration of the ROV </w:t>
      </w:r>
    </w:p>
    <w:p w:rsidR="007035B4" w:rsidRPr="002A19E4" w:rsidRDefault="00634A8C" w:rsidP="00634A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Be able to reconfigure</w:t>
      </w:r>
      <w:r w:rsidR="00BD245D" w:rsidRPr="002A19E4">
        <w:rPr>
          <w:sz w:val="23"/>
          <w:szCs w:val="23"/>
        </w:rPr>
        <w:t>, attachments, and components depending on the game</w:t>
      </w:r>
      <w:r w:rsidR="00786AFC">
        <w:rPr>
          <w:sz w:val="23"/>
          <w:szCs w:val="23"/>
        </w:rPr>
        <w:t>, but not remove them.</w:t>
      </w:r>
      <w:r w:rsidR="00BD245D" w:rsidRPr="002A19E4">
        <w:rPr>
          <w:sz w:val="23"/>
          <w:szCs w:val="23"/>
        </w:rPr>
        <w:t xml:space="preserve"> </w:t>
      </w:r>
    </w:p>
    <w:p w:rsidR="00B63D21" w:rsidRPr="002A19E4" w:rsidRDefault="00B63D21" w:rsidP="00634A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A19E4">
        <w:rPr>
          <w:sz w:val="23"/>
          <w:szCs w:val="23"/>
        </w:rPr>
        <w:t>Use only materials that are not easily breakable</w:t>
      </w:r>
    </w:p>
    <w:p w:rsidR="00B63D21" w:rsidRPr="002A19E4" w:rsidRDefault="00B63D21" w:rsidP="00634A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A19E4">
        <w:rPr>
          <w:sz w:val="23"/>
          <w:szCs w:val="23"/>
        </w:rPr>
        <w:t>Use the design, materials, or assembly methods of thrusters provided with the kit</w:t>
      </w:r>
    </w:p>
    <w:p w:rsidR="00634A8C" w:rsidRDefault="00634A8C" w:rsidP="00634A8C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BD245D" w:rsidRPr="002A19E4" w:rsidRDefault="00BD245D" w:rsidP="00634A8C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A19E4">
        <w:rPr>
          <w:sz w:val="23"/>
          <w:szCs w:val="23"/>
        </w:rPr>
        <w:t xml:space="preserve">Teams ROV’s must: </w:t>
      </w:r>
    </w:p>
    <w:p w:rsidR="00BD245D" w:rsidRPr="002A19E4" w:rsidRDefault="00BD245D" w:rsidP="00634A8C">
      <w:pPr>
        <w:numPr>
          <w:ilvl w:val="0"/>
          <w:numId w:val="2"/>
        </w:numPr>
        <w:shd w:val="clear" w:color="auto" w:fill="FFFFFF"/>
        <w:rPr>
          <w:sz w:val="23"/>
          <w:szCs w:val="23"/>
        </w:rPr>
      </w:pPr>
      <w:r w:rsidRPr="002A19E4">
        <w:rPr>
          <w:sz w:val="23"/>
          <w:szCs w:val="23"/>
        </w:rPr>
        <w:t>ONLY use one</w:t>
      </w:r>
      <w:r w:rsidR="00B63D21" w:rsidRPr="002A19E4">
        <w:rPr>
          <w:sz w:val="23"/>
          <w:szCs w:val="23"/>
        </w:rPr>
        <w:t xml:space="preserve"> 4-pair tether (Ethernet) cable</w:t>
      </w:r>
    </w:p>
    <w:p w:rsidR="00B63D21" w:rsidRPr="002A19E4" w:rsidRDefault="00BD245D" w:rsidP="00634A8C">
      <w:pPr>
        <w:numPr>
          <w:ilvl w:val="0"/>
          <w:numId w:val="2"/>
        </w:numPr>
        <w:shd w:val="clear" w:color="auto" w:fill="FFFFFF"/>
        <w:rPr>
          <w:sz w:val="23"/>
          <w:szCs w:val="23"/>
        </w:rPr>
      </w:pPr>
      <w:r w:rsidRPr="002A19E4">
        <w:rPr>
          <w:sz w:val="23"/>
          <w:szCs w:val="23"/>
        </w:rPr>
        <w:t xml:space="preserve">Each pair of wires on the tether may power ONLY one motor or other electronic device </w:t>
      </w:r>
    </w:p>
    <w:p w:rsidR="00BD245D" w:rsidRPr="002A19E4" w:rsidRDefault="00BD245D" w:rsidP="00634A8C">
      <w:pPr>
        <w:numPr>
          <w:ilvl w:val="0"/>
          <w:numId w:val="2"/>
        </w:numPr>
        <w:shd w:val="clear" w:color="auto" w:fill="FFFFFF"/>
        <w:rPr>
          <w:sz w:val="23"/>
          <w:szCs w:val="23"/>
        </w:rPr>
      </w:pPr>
      <w:r w:rsidRPr="002A19E4">
        <w:rPr>
          <w:sz w:val="23"/>
          <w:szCs w:val="23"/>
        </w:rPr>
        <w:t xml:space="preserve">Be able to fit through </w:t>
      </w:r>
      <w:r w:rsidR="00D66A98" w:rsidRPr="002A19E4">
        <w:rPr>
          <w:sz w:val="23"/>
          <w:szCs w:val="23"/>
        </w:rPr>
        <w:t>an</w:t>
      </w:r>
      <w:r w:rsidRPr="002A19E4">
        <w:rPr>
          <w:sz w:val="23"/>
          <w:szCs w:val="23"/>
        </w:rPr>
        <w:t xml:space="preserve"> </w:t>
      </w:r>
      <w:bookmarkStart w:id="0" w:name="_GoBack"/>
      <w:bookmarkEnd w:id="0"/>
      <w:r w:rsidR="00D66A98">
        <w:rPr>
          <w:sz w:val="23"/>
          <w:szCs w:val="23"/>
        </w:rPr>
        <w:t>18</w:t>
      </w:r>
      <w:r w:rsidR="00D66A98" w:rsidRPr="002A19E4">
        <w:rPr>
          <w:sz w:val="23"/>
          <w:szCs w:val="23"/>
        </w:rPr>
        <w:t>-inch</w:t>
      </w:r>
      <w:r w:rsidRPr="002A19E4">
        <w:rPr>
          <w:sz w:val="23"/>
          <w:szCs w:val="23"/>
        </w:rPr>
        <w:t xml:space="preserve"> diameter hoop </w:t>
      </w:r>
    </w:p>
    <w:p w:rsidR="00BD245D" w:rsidRPr="002A19E4" w:rsidRDefault="00BD245D" w:rsidP="00634A8C">
      <w:pPr>
        <w:numPr>
          <w:ilvl w:val="0"/>
          <w:numId w:val="2"/>
        </w:numPr>
        <w:shd w:val="clear" w:color="auto" w:fill="FFFFFF"/>
        <w:rPr>
          <w:sz w:val="23"/>
          <w:szCs w:val="23"/>
        </w:rPr>
      </w:pPr>
      <w:r w:rsidRPr="002A19E4">
        <w:rPr>
          <w:sz w:val="23"/>
          <w:szCs w:val="23"/>
        </w:rPr>
        <w:t xml:space="preserve">Follow the </w:t>
      </w:r>
      <w:r w:rsidR="00B63D21" w:rsidRPr="002A19E4">
        <w:rPr>
          <w:sz w:val="23"/>
          <w:szCs w:val="23"/>
        </w:rPr>
        <w:t>SeaPerch</w:t>
      </w:r>
      <w:r w:rsidRPr="002A19E4">
        <w:rPr>
          <w:sz w:val="23"/>
          <w:szCs w:val="23"/>
        </w:rPr>
        <w:t xml:space="preserve"> ROV Rules  </w:t>
      </w:r>
    </w:p>
    <w:p w:rsidR="00BD245D" w:rsidRPr="00A65807" w:rsidRDefault="00BD245D" w:rsidP="00BD245D">
      <w:pPr>
        <w:pStyle w:val="NormalWeb"/>
        <w:shd w:val="clear" w:color="auto" w:fill="FFFFFF"/>
        <w:rPr>
          <w:i/>
        </w:rPr>
      </w:pPr>
      <w:r w:rsidRPr="00A65807">
        <w:rPr>
          <w:rStyle w:val="Strong"/>
          <w:i/>
        </w:rPr>
        <w:t>Innovative Design Award Presentation Method Requirements</w:t>
      </w:r>
    </w:p>
    <w:p w:rsidR="00BD245D" w:rsidRDefault="00BD245D" w:rsidP="00786AFC">
      <w:pPr>
        <w:pStyle w:val="NormalWeb"/>
        <w:shd w:val="clear" w:color="auto" w:fill="FFFFFF"/>
        <w:rPr>
          <w:sz w:val="23"/>
          <w:szCs w:val="23"/>
        </w:rPr>
      </w:pPr>
      <w:r w:rsidRPr="002A19E4">
        <w:rPr>
          <w:sz w:val="23"/>
          <w:szCs w:val="23"/>
        </w:rPr>
        <w:t xml:space="preserve">Teams will present their modifications to the </w:t>
      </w:r>
      <w:r w:rsidR="00B63D21" w:rsidRPr="002A19E4">
        <w:rPr>
          <w:sz w:val="23"/>
          <w:szCs w:val="23"/>
        </w:rPr>
        <w:t>SeaPerch</w:t>
      </w:r>
      <w:r w:rsidRPr="002A19E4">
        <w:rPr>
          <w:sz w:val="23"/>
          <w:szCs w:val="23"/>
        </w:rPr>
        <w:t xml:space="preserve"> design via a tri-fold presentation display and informal interview with a panel of judges. </w:t>
      </w:r>
      <w:r w:rsidR="00A65807">
        <w:rPr>
          <w:sz w:val="23"/>
          <w:szCs w:val="23"/>
        </w:rPr>
        <w:t>Judges may come to the pit area to interview the teams or they may be asked into a judging room setup.</w:t>
      </w:r>
    </w:p>
    <w:p w:rsidR="00786AFC" w:rsidRPr="002A19E4" w:rsidRDefault="00786AFC" w:rsidP="00786AFC">
      <w:pPr>
        <w:pStyle w:val="NormalWeb"/>
        <w:shd w:val="clear" w:color="auto" w:fill="FFFFFF"/>
        <w:rPr>
          <w:sz w:val="23"/>
          <w:szCs w:val="23"/>
        </w:rPr>
      </w:pPr>
      <w:r w:rsidRPr="002A19E4">
        <w:rPr>
          <w:sz w:val="23"/>
          <w:szCs w:val="23"/>
        </w:rPr>
        <w:t>Teams shall be prepared to discuss the initial hypotheses and solutions that led them to their final design. At the conclusion of the interview, judges should have a clear understanding of how students implemented their basic knowledge of design concepts, fluids and propulsion.</w:t>
      </w:r>
      <w:r w:rsidRPr="002A19E4">
        <w:rPr>
          <w:rStyle w:val="Strong"/>
          <w:sz w:val="23"/>
          <w:szCs w:val="23"/>
        </w:rPr>
        <w:t xml:space="preserve"> </w:t>
      </w:r>
      <w:r w:rsidRPr="002A19E4">
        <w:rPr>
          <w:sz w:val="23"/>
          <w:szCs w:val="23"/>
        </w:rPr>
        <w:t xml:space="preserve">It is also encouraged that preliminary sketches be included on the </w:t>
      </w:r>
      <w:r>
        <w:rPr>
          <w:sz w:val="23"/>
          <w:szCs w:val="23"/>
        </w:rPr>
        <w:t>TriFold</w:t>
      </w:r>
      <w:r w:rsidRPr="002A19E4">
        <w:rPr>
          <w:sz w:val="23"/>
          <w:szCs w:val="23"/>
        </w:rPr>
        <w:t xml:space="preserve"> display to show the progressive steps of the team’s design process; hand drawn and/or CAD drawings, and photographs are all acceptable.</w:t>
      </w:r>
    </w:p>
    <w:p w:rsidR="00786AFC" w:rsidRDefault="00786AFC" w:rsidP="00786AFC">
      <w:pPr>
        <w:pStyle w:val="NormalWeb"/>
        <w:shd w:val="clear" w:color="auto" w:fill="FFFFFF"/>
        <w:rPr>
          <w:sz w:val="23"/>
          <w:szCs w:val="23"/>
        </w:rPr>
      </w:pPr>
      <w:r w:rsidRPr="002A19E4">
        <w:rPr>
          <w:sz w:val="23"/>
          <w:szCs w:val="23"/>
        </w:rPr>
        <w:t xml:space="preserve">The </w:t>
      </w:r>
      <w:r>
        <w:rPr>
          <w:sz w:val="23"/>
          <w:szCs w:val="23"/>
        </w:rPr>
        <w:t>TriFold</w:t>
      </w:r>
      <w:r w:rsidRPr="002A19E4">
        <w:rPr>
          <w:sz w:val="23"/>
          <w:szCs w:val="23"/>
        </w:rPr>
        <w:t xml:space="preserve"> display board </w:t>
      </w:r>
      <w:r>
        <w:rPr>
          <w:sz w:val="23"/>
          <w:szCs w:val="23"/>
        </w:rPr>
        <w:t>will</w:t>
      </w:r>
      <w:r w:rsidRPr="002A19E4">
        <w:rPr>
          <w:sz w:val="23"/>
          <w:szCs w:val="23"/>
        </w:rPr>
        <w:t xml:space="preserve"> measure 24”x36”.  Format on the display is left to the discretion of the team.</w:t>
      </w:r>
      <w:r>
        <w:rPr>
          <w:sz w:val="23"/>
          <w:szCs w:val="23"/>
        </w:rPr>
        <w:t xml:space="preserve"> </w:t>
      </w:r>
      <w:r>
        <w:br/>
      </w:r>
      <w:r w:rsidRPr="002A19E4">
        <w:rPr>
          <w:sz w:val="23"/>
          <w:szCs w:val="23"/>
        </w:rPr>
        <w:t xml:space="preserve">** Teachers, please note, you </w:t>
      </w:r>
      <w:r>
        <w:rPr>
          <w:sz w:val="23"/>
          <w:szCs w:val="23"/>
        </w:rPr>
        <w:t xml:space="preserve">must </w:t>
      </w:r>
      <w:r w:rsidRPr="002A19E4">
        <w:rPr>
          <w:sz w:val="23"/>
          <w:szCs w:val="23"/>
        </w:rPr>
        <w:t>have a price list and a receipt form that can be completed for each extra part supplied to any team.</w:t>
      </w:r>
    </w:p>
    <w:p w:rsidR="00634A8C" w:rsidRPr="00D66A98" w:rsidRDefault="00786AFC" w:rsidP="00786AFC">
      <w:pPr>
        <w:pStyle w:val="NormalWeb"/>
        <w:shd w:val="clear" w:color="auto" w:fill="FFFFFF"/>
        <w:rPr>
          <w:b/>
          <w:i/>
          <w:sz w:val="23"/>
          <w:szCs w:val="23"/>
          <w:u w:val="single"/>
        </w:rPr>
      </w:pPr>
      <w:r>
        <w:rPr>
          <w:sz w:val="23"/>
          <w:szCs w:val="23"/>
        </w:rPr>
        <w:t xml:space="preserve">Teams are required to create a </w:t>
      </w:r>
      <w:r w:rsidRPr="00786AFC">
        <w:rPr>
          <w:b/>
          <w:i/>
          <w:sz w:val="23"/>
          <w:szCs w:val="23"/>
          <w:u w:val="single"/>
        </w:rPr>
        <w:t>free-standing display board</w:t>
      </w:r>
      <w:r>
        <w:rPr>
          <w:sz w:val="23"/>
          <w:szCs w:val="23"/>
        </w:rPr>
        <w:t xml:space="preserve">, that is </w:t>
      </w:r>
      <w:r w:rsidRPr="00786AFC">
        <w:rPr>
          <w:b/>
          <w:i/>
          <w:sz w:val="23"/>
          <w:szCs w:val="23"/>
          <w:u w:val="single"/>
        </w:rPr>
        <w:t>not to exceed</w:t>
      </w:r>
      <w:r w:rsidR="00D66A98">
        <w:rPr>
          <w:b/>
          <w:i/>
          <w:sz w:val="23"/>
          <w:szCs w:val="23"/>
          <w:u w:val="single"/>
        </w:rPr>
        <w:t xml:space="preserve"> 24” X 36”. Orientation of the poster is at the team’s discretion</w:t>
      </w:r>
      <w:r>
        <w:rPr>
          <w:sz w:val="23"/>
          <w:szCs w:val="23"/>
        </w:rPr>
        <w:t xml:space="preserve">:  </w:t>
      </w:r>
    </w:p>
    <w:p w:rsidR="00BD245D" w:rsidRPr="00786AFC" w:rsidRDefault="00786AFC" w:rsidP="002A19E4">
      <w:pPr>
        <w:pStyle w:val="NormalWeb"/>
        <w:shd w:val="clear" w:color="auto" w:fill="FFFFFF"/>
        <w:rPr>
          <w:b/>
          <w:sz w:val="23"/>
          <w:szCs w:val="23"/>
        </w:rPr>
      </w:pPr>
      <w:r w:rsidRPr="00786AFC">
        <w:rPr>
          <w:b/>
          <w:sz w:val="23"/>
          <w:szCs w:val="23"/>
        </w:rPr>
        <w:t>Posters that exceed this dimension will not be eligible for judging,</w:t>
      </w:r>
    </w:p>
    <w:sectPr w:rsidR="00BD245D" w:rsidRPr="00786AFC" w:rsidSect="002A19E4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F9F"/>
    <w:multiLevelType w:val="multilevel"/>
    <w:tmpl w:val="5242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E0C88"/>
    <w:multiLevelType w:val="multilevel"/>
    <w:tmpl w:val="5242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B2469"/>
    <w:multiLevelType w:val="hybridMultilevel"/>
    <w:tmpl w:val="F184D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9A2"/>
    <w:multiLevelType w:val="multilevel"/>
    <w:tmpl w:val="5242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1155F"/>
    <w:multiLevelType w:val="multilevel"/>
    <w:tmpl w:val="5242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5D"/>
    <w:rsid w:val="000A2606"/>
    <w:rsid w:val="000F7689"/>
    <w:rsid w:val="002A19E4"/>
    <w:rsid w:val="00336A29"/>
    <w:rsid w:val="003755D5"/>
    <w:rsid w:val="00584FD3"/>
    <w:rsid w:val="00634A8C"/>
    <w:rsid w:val="00691A74"/>
    <w:rsid w:val="007035B4"/>
    <w:rsid w:val="00771200"/>
    <w:rsid w:val="0077187C"/>
    <w:rsid w:val="00786AFC"/>
    <w:rsid w:val="008D13BD"/>
    <w:rsid w:val="008F349C"/>
    <w:rsid w:val="00927207"/>
    <w:rsid w:val="00A104D7"/>
    <w:rsid w:val="00A65807"/>
    <w:rsid w:val="00A77046"/>
    <w:rsid w:val="00B44400"/>
    <w:rsid w:val="00B4655F"/>
    <w:rsid w:val="00B469AC"/>
    <w:rsid w:val="00B63D21"/>
    <w:rsid w:val="00BD245D"/>
    <w:rsid w:val="00C36DB6"/>
    <w:rsid w:val="00C37062"/>
    <w:rsid w:val="00CA6A2F"/>
    <w:rsid w:val="00D66A98"/>
    <w:rsid w:val="00D96863"/>
    <w:rsid w:val="00E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D35EB"/>
  <w15:chartTrackingRefBased/>
  <w15:docId w15:val="{36F59B5B-B17B-405C-B32D-75570D1B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D245D"/>
    <w:pPr>
      <w:spacing w:before="100" w:beforeAutospacing="1" w:after="100" w:afterAutospacing="1"/>
    </w:pPr>
  </w:style>
  <w:style w:type="character" w:styleId="Strong">
    <w:name w:val="Strong"/>
    <w:qFormat/>
    <w:rsid w:val="00BD245D"/>
    <w:rPr>
      <w:b/>
      <w:bCs/>
    </w:rPr>
  </w:style>
  <w:style w:type="character" w:styleId="Emphasis">
    <w:name w:val="Emphasis"/>
    <w:qFormat/>
    <w:rsid w:val="00BD245D"/>
    <w:rPr>
      <w:i/>
      <w:iCs/>
    </w:rPr>
  </w:style>
  <w:style w:type="paragraph" w:customStyle="1" w:styleId="t1">
    <w:name w:val="t1"/>
    <w:basedOn w:val="Normal"/>
    <w:rsid w:val="00A65807"/>
    <w:pPr>
      <w:spacing w:before="100" w:beforeAutospacing="1" w:after="100" w:afterAutospacing="1"/>
    </w:pPr>
    <w:rPr>
      <w:rFonts w:ascii="Arial" w:hAnsi="Arial" w:cs="Arial"/>
      <w:b/>
      <w:bCs/>
      <w:color w:val="3333CC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363">
          <w:marLeft w:val="-6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4368">
          <w:marLeft w:val="-6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4ED9-171A-4284-A29B-8DA12AD8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PWCS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PWCS</dc:creator>
  <cp:keywords/>
  <cp:lastModifiedBy>Denyse M. Carroll</cp:lastModifiedBy>
  <cp:revision>2</cp:revision>
  <cp:lastPrinted>2019-01-23T15:27:00Z</cp:lastPrinted>
  <dcterms:created xsi:type="dcterms:W3CDTF">2020-01-16T19:56:00Z</dcterms:created>
  <dcterms:modified xsi:type="dcterms:W3CDTF">2020-01-16T19:56:00Z</dcterms:modified>
</cp:coreProperties>
</file>